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00" w:rsidRPr="00B22100" w:rsidRDefault="00B22100" w:rsidP="00B22100">
      <w:pPr>
        <w:spacing w:after="0" w:line="330" w:lineRule="atLeast"/>
        <w:jc w:val="center"/>
        <w:textAlignment w:val="baseline"/>
        <w:outlineLvl w:val="0"/>
        <w:rPr>
          <w:rFonts w:eastAsia="Times New Roman" w:cs="Arial"/>
          <w:b/>
          <w:color w:val="383838"/>
          <w:kern w:val="36"/>
          <w:sz w:val="24"/>
          <w:szCs w:val="24"/>
          <w:lang w:eastAsia="ru-RU"/>
        </w:rPr>
      </w:pPr>
      <w:r w:rsidRPr="00B22100">
        <w:rPr>
          <w:rFonts w:eastAsia="Times New Roman" w:cs="Arial"/>
          <w:b/>
          <w:color w:val="383838"/>
          <w:kern w:val="36"/>
          <w:sz w:val="24"/>
          <w:szCs w:val="24"/>
          <w:lang w:eastAsia="ru-RU"/>
        </w:rPr>
        <w:t>Основні вимоги до учнівських робіт</w:t>
      </w:r>
      <w:r w:rsidR="00955734">
        <w:rPr>
          <w:rFonts w:eastAsia="Times New Roman" w:cs="Arial"/>
          <w:b/>
          <w:color w:val="383838"/>
          <w:kern w:val="36"/>
          <w:sz w:val="24"/>
          <w:szCs w:val="24"/>
          <w:lang w:val="uk-UA" w:eastAsia="ru-RU"/>
        </w:rPr>
        <w:t xml:space="preserve"> МАН</w:t>
      </w:r>
      <w:r w:rsidR="00955734">
        <w:rPr>
          <w:rFonts w:eastAsia="Times New Roman" w:cs="Arial"/>
          <w:b/>
          <w:color w:val="383838"/>
          <w:kern w:val="36"/>
          <w:sz w:val="24"/>
          <w:szCs w:val="24"/>
          <w:lang w:eastAsia="ru-RU"/>
        </w:rPr>
        <w:t>-</w:t>
      </w:r>
      <w:bookmarkStart w:id="0" w:name="_GoBack"/>
      <w:bookmarkEnd w:id="0"/>
      <w:r w:rsidRPr="00B22100">
        <w:rPr>
          <w:rFonts w:eastAsia="Times New Roman" w:cs="Arial"/>
          <w:b/>
          <w:color w:val="383838"/>
          <w:kern w:val="36"/>
          <w:sz w:val="24"/>
          <w:szCs w:val="24"/>
          <w:lang w:eastAsia="ru-RU"/>
        </w:rPr>
        <w:t>2020</w:t>
      </w:r>
    </w:p>
    <w:p w:rsidR="00B22100" w:rsidRPr="00B22100" w:rsidRDefault="00B22100" w:rsidP="00B22100">
      <w:pPr>
        <w:spacing w:after="0" w:line="240" w:lineRule="auto"/>
        <w:jc w:val="center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955734">
        <w:rPr>
          <w:rFonts w:eastAsia="Times New Roman" w:cs="Arial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І. Загальні положення</w:t>
      </w:r>
    </w:p>
    <w:p w:rsidR="00B22100" w:rsidRPr="00B22100" w:rsidRDefault="00B22100" w:rsidP="00B2210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На Конкурс подаються дослідницькі роботи (далі – роботи) проблемно-пошукового характеру, які відображають методологію, процес, результати власного дослідницького проєкту та відповідають віковим інтересам і пізнавальним можливостям учасників Конкурсу. Тематика проєктів (відповідно, і робіт) має відповідати напрямам наукових секцій наукових відділень Малої академії наук України.</w:t>
      </w:r>
    </w:p>
    <w:p w:rsidR="00B22100" w:rsidRPr="00B22100" w:rsidRDefault="00B22100" w:rsidP="00B2210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Проєкт має ґрунтуватися на певних науковій та експериментальній базах, містити дані особисто проведених дослідів, спостережень чи пошукової роботи; результати їх опрацювання, аналізу та узагальнення; посилання на відповідні наукові джерела; відображати власну позицію дослідника.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 проєкті мають бути чітко визначені: мета, об’єкт і предмет дослідження, завдання, методи дослідження, відмінність та перевага запропонованих підходів і результатів.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Зміст і результати досліджень викладаються стисло, логічно, грамотно й аргументовано, без загальних слів і міркувань, бездоказових тверджень, тавтології.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Назва проєкту має бути стислою і відповідати суті наукової проблеми (завдання), що вирішується.</w:t>
      </w:r>
    </w:p>
    <w:p w:rsidR="00B22100" w:rsidRPr="00B22100" w:rsidRDefault="00B22100" w:rsidP="00B2210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До роботи мають бути додані відгуки наукового керівника і рецензія фахівця у відповідній галузі (досвідченого педагогічного, наукового чи науково-педагогічного працівника).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Достовірність наведених у проєкті результатів підтверджується у відгуку науковим керівником.</w:t>
      </w:r>
    </w:p>
    <w:p w:rsidR="00B22100" w:rsidRPr="00B22100" w:rsidRDefault="00B22100" w:rsidP="00B2210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Робота оформлюється у двох примірниках: один використовується журі під час заочного оцінювання, другий – учасником під час Конкурсу. Обидва примірники роботи мають бути ідентичними.</w:t>
      </w:r>
    </w:p>
    <w:p w:rsidR="00B22100" w:rsidRPr="00B22100" w:rsidRDefault="00B22100" w:rsidP="00B2210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До розгляду не приймаються проєкти (роботи):</w:t>
      </w:r>
    </w:p>
    <w:p w:rsidR="00B22100" w:rsidRPr="00B22100" w:rsidRDefault="00B22100" w:rsidP="00B2210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тема та зміст яких не відповідають профілю наукової секції;</w:t>
      </w:r>
    </w:p>
    <w:p w:rsidR="00B22100" w:rsidRPr="00B22100" w:rsidRDefault="00B22100" w:rsidP="00B2210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які були представлені в попередні роки і не мають суттєвого доопрацювання;</w:t>
      </w:r>
    </w:p>
    <w:p w:rsidR="00B22100" w:rsidRPr="00B22100" w:rsidRDefault="00B22100" w:rsidP="00B2210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які містять плагіат або інші випадки порушення академічної доброчесності;</w:t>
      </w:r>
    </w:p>
    <w:p w:rsidR="00B22100" w:rsidRPr="00B22100" w:rsidRDefault="00B22100" w:rsidP="00B2210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без самостійного дослідження, опрацювання джерел і власних висновків з обраної тематики;</w:t>
      </w:r>
    </w:p>
    <w:p w:rsidR="00B22100" w:rsidRPr="00B22100" w:rsidRDefault="00B22100" w:rsidP="00B2210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без принаймні одного з необхідних структурних елементів роботи, передбачених розділом ІІ цих правил, відредагованих та оформлених відповідно до цих вимог.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Автори таких робіт після заочного оцінювання дослідницької роботи отримують відповідну рецензію і до подальшої участі в Конкурсі не допускаються.</w:t>
      </w:r>
    </w:p>
    <w:p w:rsidR="00B22100" w:rsidRPr="00B22100" w:rsidRDefault="00B22100" w:rsidP="00B22100">
      <w:pPr>
        <w:spacing w:after="0" w:line="240" w:lineRule="auto"/>
        <w:jc w:val="center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955734">
        <w:rPr>
          <w:rFonts w:eastAsia="Times New Roman" w:cs="Arial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ІІ. Структура роботи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Робота має бути побудована за певною структурою. Основними складовими структури роботи є такі:</w:t>
      </w:r>
    </w:p>
    <w:p w:rsidR="00B22100" w:rsidRPr="00B22100" w:rsidRDefault="00B22100" w:rsidP="00B2210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титульний аркуш;</w:t>
      </w:r>
    </w:p>
    <w:p w:rsidR="00B22100" w:rsidRPr="00B22100" w:rsidRDefault="00B22100" w:rsidP="00B2210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анотація;</w:t>
      </w:r>
    </w:p>
    <w:p w:rsidR="00B22100" w:rsidRPr="00B22100" w:rsidRDefault="00B22100" w:rsidP="00B2210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зміст;</w:t>
      </w:r>
    </w:p>
    <w:p w:rsidR="00B22100" w:rsidRPr="00B22100" w:rsidRDefault="00B22100" w:rsidP="00B2210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перелік умовних позначень, символів, скорочень, термінів (за необхідності);</w:t>
      </w:r>
    </w:p>
    <w:p w:rsidR="00B22100" w:rsidRPr="00B22100" w:rsidRDefault="00B22100" w:rsidP="00B2210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вступ;</w:t>
      </w:r>
    </w:p>
    <w:p w:rsidR="00B22100" w:rsidRPr="00B22100" w:rsidRDefault="00B22100" w:rsidP="00B2210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основна частина;</w:t>
      </w:r>
    </w:p>
    <w:p w:rsidR="00B22100" w:rsidRPr="00B22100" w:rsidRDefault="00B22100" w:rsidP="00B2210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висновки;</w:t>
      </w:r>
    </w:p>
    <w:p w:rsidR="00B22100" w:rsidRPr="00B22100" w:rsidRDefault="00B22100" w:rsidP="00B2210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список використаних джерел;</w:t>
      </w:r>
    </w:p>
    <w:p w:rsidR="00B22100" w:rsidRPr="00B22100" w:rsidRDefault="00B22100" w:rsidP="00B2210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додатки (за необхідності).</w:t>
      </w:r>
    </w:p>
    <w:p w:rsidR="00B22100" w:rsidRPr="00B22100" w:rsidRDefault="00B22100" w:rsidP="00B22100">
      <w:pPr>
        <w:spacing w:after="0" w:line="240" w:lineRule="auto"/>
        <w:jc w:val="center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955734">
        <w:rPr>
          <w:rFonts w:eastAsia="Times New Roman" w:cs="Arial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ІІІ. Вимоги до змісту роботи</w:t>
      </w:r>
    </w:p>
    <w:p w:rsidR="00B22100" w:rsidRPr="00B22100" w:rsidRDefault="00B22100" w:rsidP="00B2210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Титульний аркуш є першою сторінкою роботи, що заповнюється за зразком, наведеним у </w:t>
      </w:r>
      <w:hyperlink r:id="rId5" w:tgtFrame="_blank" w:history="1">
        <w:r w:rsidRPr="00955734">
          <w:rPr>
            <w:rFonts w:eastAsia="Times New Roman" w:cs="Arial"/>
            <w:color w:val="3386BC"/>
            <w:sz w:val="24"/>
            <w:szCs w:val="24"/>
            <w:u w:val="single"/>
            <w:bdr w:val="none" w:sz="0" w:space="0" w:color="auto" w:frame="1"/>
            <w:lang w:eastAsia="ru-RU"/>
          </w:rPr>
          <w:t>додатку 3</w:t>
        </w:r>
      </w:hyperlink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.</w:t>
      </w:r>
    </w:p>
    <w:p w:rsidR="00B22100" w:rsidRPr="00B22100" w:rsidRDefault="00B22100" w:rsidP="00B2210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lastRenderedPageBreak/>
        <w:t xml:space="preserve">Анотація є узагальненим коротким викладом основного змісту роботи. В анотації (текст обсягом до однієї сторінки) подається стисла характеристика змісту роботи з визначенням основної мети, актуальності та завдань наукового дослідження. Також у них зазначаються висновки й отримані результати проведеної роботи, ключові слова. Сукупність ключових слів має відповідати основному змісту роботи, відображати тематику дослідження. Кількість ключових слів становить від п’яти до десяти. Ключові слова подаються в називному відмінку, друкуються в рядок 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через кому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 наприкінці анотації.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 заголовку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 анотації наводяться такі дані: назва роботи; прізвище, ім’я, по батькові автора; назва територіального відділення Малої академії наук України; назва закладу позашкільної освіти; назва закладу освіти; клас (курс); назва населеного пункту; прізвище, ім’я, по батькові, посада (за наявності – науковий ступінь, вчене звання) наукового керівника.</w:t>
      </w:r>
    </w:p>
    <w:p w:rsidR="00B22100" w:rsidRPr="00B22100" w:rsidRDefault="00B22100" w:rsidP="00B2210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Зміст подається 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на початку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 роботи. Він містить назву та номери початкових сторінок усіх розділів, підрозділів та пунктів (якщо вони мають заголовок), зокрема вступу, висновків до розділів, загальних висновків, додатків, списку використаних джерел тощо.</w:t>
      </w:r>
    </w:p>
    <w:p w:rsidR="00B22100" w:rsidRPr="00B22100" w:rsidRDefault="00B22100" w:rsidP="00B2210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Якщо в роботі використано специфічну термінологію, а також маловідомі скорочення, нові символи, позначення тощо, то їх перелік подається у вигляді окремого списку, який розміщується перед вступом.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Перелік має розміщуватися двома стовпчиками: у лівому в абетковому порядку наводяться умовні позначення, символи, одиниці скорочення або терміни; у правому – їх детальне розшифрування.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Якщо в роботі спеціальні терміни, скорочення, символи, позначення тощо повторюються менше трьох разів, перелік не складається, а їх розшифрування наводиться в тексті при першому згадуванні.</w:t>
      </w:r>
    </w:p>
    <w:p w:rsidR="00B22100" w:rsidRPr="00B22100" w:rsidRDefault="00B22100" w:rsidP="00B2210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 вступі коротко обґрунтовуються актуальність і доцільність обраної теми, акцентується сутність досліджуваної проблеми; формулюються мета роботи, зміст поставлених завдань, об’єкт і предмет дослідження; подаються перелік використаних методів дослідження, характеристика проєкту (теоретична/прикладна); вказуються наукові положення, запропоновані учасником особисто, відмінність отриманих результатів від відомих раніше; повідомляється про наукове використання результатів досліджень або подаються рекомендації щодо їх використання, для прикладних робіт повідомляється про прикладну цінність отриманих результатів.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 разі використання в роботі ідей або розробок, що належать співавторам, слід вказати на цей факт і зазначити конкретний особистий внесок учасника. Також зазначаються відомості про публікації за матеріалами проєкту та апробацію результатів дослідження (за наявності).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Орієнтовний обсяг вступу – 2-3 сторінки.</w:t>
      </w:r>
    </w:p>
    <w:p w:rsidR="00B22100" w:rsidRPr="00B22100" w:rsidRDefault="00B22100" w:rsidP="00B2210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Основна частина роботи складається з розділів, підрозділів, пунктів, підпунктів.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Кожний розділ розпочинається з нової сторінки. Основному тексту розділу може передувати коротка передмова з описом обраного напряму дослідження й обґрунтуванням застосованих методів досліджень. У кінці кожного розділу формулюються висновки зі стислим викладенням наведених у розділі наукових і практичних результатів, що дає змогу звільнити основні висновки від другорядних подробиць.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В основній частині роботи наводяться характеристика джерел, використаних для написання роботи, та короткий огляд літератури за тематикою дослідження, включаючи міжнародні й вітчизняні наукові публікації за темою останніх років, окреслюються основні етапи наукової думки за визначеною проблемою, вказуються питання, які залишилися невирішеними; обґрунтовується вибір напряму досліджень, наводяться методика та техніка дослідження; подаються відомості про обсяг дослідження; викладаються, аналізуються та узагальнюються отримані результати, подається їх оцінка.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Зміст основної частини має відповідати темі роботи і повністю її розкривати.</w:t>
      </w:r>
    </w:p>
    <w:p w:rsidR="00B22100" w:rsidRPr="00B22100" w:rsidRDefault="00B22100" w:rsidP="00B2210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lastRenderedPageBreak/>
        <w:t>Висновки мають містити стислий виклад результатів вирішення наукової проблеми і поставлених завдань, зроблених у процесі аналізу обраного матеріалу, оцінок та узагальнень. Необхідно наголосити на їх самостійності, теоретичному та (або) прикладному значенні, акцентувавши увагу на кількісних і якісних показниках отриманих результатів, обґрунтувати достовірність результатів і надати рекомендації щодо їх використання.</w:t>
      </w:r>
    </w:p>
    <w:p w:rsidR="00B22100" w:rsidRPr="00B22100" w:rsidRDefault="00B22100" w:rsidP="00B2210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Список використаних джерел – елемент бібліографічного апарату, який містить бібліографічні описи використаних джерел.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Список використаних джерел слід розміщувати в алфавітному порядку прізвищ перших авторів або заголовків.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Відомості про джерела складаються відповідно до вимог, зазначених 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 стандартах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:</w:t>
      </w:r>
    </w:p>
    <w:p w:rsidR="00B22100" w:rsidRPr="00B22100" w:rsidRDefault="00B22100" w:rsidP="00B22100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ДСТУ 8302:2015 «Інформація та документація. Бібліографічне посилання. Загальні положення та правила складання», затверджений наказом ДП «УкрНДНЦ» від 22 червня 2015 р. № 61;</w:t>
      </w:r>
    </w:p>
    <w:p w:rsidR="00B22100" w:rsidRPr="00B22100" w:rsidRDefault="00B22100" w:rsidP="00B22100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ДСТУ 3008-2015 «Інформація та документація. Звіти у сфері науки і техніки. Структура та правила оформлювання», затверджений наказом ДП «УкрНДНЦ» від 22 червня 2015 р. № 61;</w:t>
      </w:r>
    </w:p>
    <w:p w:rsidR="00B22100" w:rsidRPr="00B22100" w:rsidRDefault="00B22100" w:rsidP="00B22100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ДСТУ 4331:2004 «Правила описування архівних документів», затверджені наказом Держспоживстандарту України від 17.08.2004 № 181;</w:t>
      </w:r>
    </w:p>
    <w:p w:rsidR="00B22100" w:rsidRPr="00B22100" w:rsidRDefault="00B22100" w:rsidP="00B22100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ДСТУ 3582:2013 «Інформація та документація. Бібліографічний опис. Скорочення слів і словосполучень в українській мові. Загальні вимоги та правила», затверджений наказом Мінекономрозвитку від 22.08.2013 № 1010.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Наприклад:</w:t>
      </w: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6904"/>
      </w:tblGrid>
      <w:tr w:rsidR="00B22100" w:rsidRPr="00B22100" w:rsidTr="00B22100">
        <w:trPr>
          <w:tblCellSpacing w:w="7" w:type="dxa"/>
          <w:jc w:val="center"/>
        </w:trPr>
        <w:tc>
          <w:tcPr>
            <w:tcW w:w="2250" w:type="dxa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книга одного автора</w:t>
            </w:r>
          </w:p>
        </w:tc>
        <w:tc>
          <w:tcPr>
            <w:tcW w:w="4500" w:type="dxa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Ґейман Н. Скандинавська міфологія / пер. з англ. М. Бакалова.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Київ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КМ-БУКС, 2018. 256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книга двох авторів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Гокінґ С., Гокінґ Л. Джордж і таємний ключ до Всесвіту / пер. з англ. Г. Лелів.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Львів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Вид-во Старого Лева, 2016. 312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книга трьох авторів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Гейтенко В. В., Пристинський В. М., Пристинська Т. М. Педагогічний супровід підлітків старшого шкільного віку у середовищі асоціальних й антисоціальних неформальних молодіжних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організацій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моногр. / Держ. ВНЗ «Донбас. держ. пед. ун-т», н.-д. лаб. взаємодії духов. й фіз. виховання дітей та підлітків.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Слов’янськ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Вид-во Б. І. Маторіна, 2019. 299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книга чотирьох авторів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Андрейчин М. А., Крушельницький О. Д., Копча В. С., Огороднічук І. В. Військова епідеміологія з епідеміологією надзвичайних ситуацій.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Тернопіль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Укрмедкнига, 2015. 320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книга п’яти авторів і більше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Кітч у мистецтві, етосі та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вихованні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колект. моногр. / відп. ред., керівники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проекту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Гжибек, Т. Дубровний, Ш. Сівек / Львів. нац. ун-т ім. Івана Франка.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Львів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Растр-7, 2019. 144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збірник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Бізнес і права людини: основні виклики для нових демократій: зб. статей і тез: матеріали до Панел. дискусії, 25 верес. 2019 р., Харків. міжнар. юрид. форум, 24–28 верес. 2019 р. / упоряд. О. О. Уварова.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Харків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Право, 2019. 128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багатотомна книга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Кримський А. Ю. Вибрані сходознавчі праці. В 5 т. Т. 4. Іраністика / НАН України, Ін-т сходознавства ім. А. Ю. Кримського.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Київ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Стилос, 2008. 387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дисертація та автореферат дисертації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Сталінська Г. Д. Вінтажний інтер’єр: генеза та принципи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формування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дис. ... канд.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мистецтвознавства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17.00.07 / ; Харків. держ. акад. дизайну мистецтв. Харків, 2019. 400 с.</w:t>
            </w: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Костюк О. П. Зачіска як культурно-антропологічний феномен у контекстах ініціації : автореф. дис. ... канд. філос.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наук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09.00.04 / Харків. нац. пед. ун-т ім. Г. С. Сковороди. Харків, 2019. 21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матеріали конференцій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Проблеми матеріалознавства та інженерії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поверхні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тези конференції MSSE2019. Конференція молодих науковців з матеріалознавства та інженерії поверхні, 25–27 вересня 2019 р. / відп. ред. В. Р.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Скальський ;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НАН України, Фіз.-мех. ін-т ім. Г. В. Карпенка.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Львів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Бона, 2019. 206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стаття із продовжуваного видання (наукового журналу)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Кравченко О. М. Космофізика – нова методологія. Науковий вісник Національного університету біоресурсів і природокористування України.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Серія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Гуманітарні науки. 2014. Вип. 203(1). С. 94–101.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стаття із періодичного видання (журнал, газета)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Тацій В. Я. Тютюгін В. І. Пономаренко Ю. А. Виклики сучасності і кримінальне право. Голос України. 2016. 29 січ. (№ 16). С. 6–7.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рецензія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Павлів В. «Медіяетика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унікальність та універсальність професійного досвіду. Наукові записки УКУ. 2015. Ч.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Журналістика. Медіакомунікації, вип. 1. C. 209–212. Рец. на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кн.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 Ґ. Крістіанс, М. Факлер, К. Б. Річардсон та ін.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Медіяетика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практичні випадки та моральні міркування / пер. з англ. Олег Король ; наук. ред. Ніна Зражевська.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Львів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Видавництво Українського католицького університету, 2014. 592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картографічні документи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Малий атлас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світу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Карти / Держ. служба України з питань геодезії, картографії та кадастру, ДНВП «Картографія» ; ред. В. В. Радченко ; дизайнери : М. Б. Гутман, С. М. Сухенко ; М-би різні.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Київ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ДНВП «Картографія», 2019. 64 с.</w:t>
            </w:r>
          </w:p>
        </w:tc>
      </w:tr>
      <w:tr w:rsidR="00B22100" w:rsidRPr="00B22100" w:rsidTr="00B22100">
        <w:trPr>
          <w:tblCellSpacing w:w="7" w:type="dxa"/>
          <w:jc w:val="center"/>
        </w:trPr>
        <w:tc>
          <w:tcPr>
            <w:tcW w:w="0" w:type="auto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Електронні джерела</w:t>
            </w:r>
          </w:p>
        </w:tc>
        <w:tc>
          <w:tcPr>
            <w:tcW w:w="0" w:type="auto"/>
            <w:vAlign w:val="center"/>
            <w:hideMark/>
          </w:tcPr>
          <w:p w:rsidR="00B22100" w:rsidRPr="00B22100" w:rsidRDefault="00B22100" w:rsidP="00B221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Конституція </w:t>
            </w:r>
            <w:proofErr w:type="gramStart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>України :</w:t>
            </w:r>
            <w:proofErr w:type="gramEnd"/>
            <w:r w:rsidRPr="00B221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Закон України від 28.06.1996 № 254к/96-ВР // База даних «Законодавство України» / Верховна Рада України. URL : https://zakon.rada.gov.ua/laws/show/254к/96-вр/paran4202 (дата звернення: 12.12.2019).</w:t>
            </w:r>
          </w:p>
        </w:tc>
      </w:tr>
    </w:tbl>
    <w:p w:rsidR="00B22100" w:rsidRPr="00B22100" w:rsidRDefault="00B22100" w:rsidP="00B22100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 додатках містяться допоміжні або додаткові матеріали, необхідні для повноти сприйняття проєкту, кращого розуміння отриманих результатів: проміжні математичні доведення, формули та розрахунки, додаткові таблиці, графіки, рисунки, ілюстрації тощо.</w:t>
      </w:r>
    </w:p>
    <w:p w:rsidR="00B22100" w:rsidRPr="00B22100" w:rsidRDefault="00B22100" w:rsidP="00B22100">
      <w:pPr>
        <w:spacing w:after="0" w:line="240" w:lineRule="auto"/>
        <w:jc w:val="center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955734">
        <w:rPr>
          <w:rFonts w:eastAsia="Times New Roman" w:cs="Arial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IV. Правила оформлення роботи</w:t>
      </w:r>
    </w:p>
    <w:p w:rsidR="00B22100" w:rsidRPr="00B22100" w:rsidRDefault="00B22100" w:rsidP="00B22100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Робота друкується шрифтом Times New Roman текстового редактора Word (або Open Office) розміру 14 на одному боці аркуша білого паперу формату А4 з інтервалом 1,5 (до 30 рядків на сторінці).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Поля: ліве, верхнє і нижнє – не менше 20 мм, праве – не менше 10 мм.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Обсяг роботи становить 15–20 (для гуманітарних напрямів – 20–25) друкованих сторінок. До загального обсягу роботи не входять: анотація, мотиваційний лист, додатки, список використаних джерел, таблиці та рисунки, які повністю займають площу сторінки. Текст роботи має бути написаний без орфографічних, пунктуаційних та стилістичних помилок.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Роботи виконуються державною мовою; до роботи з іноземної мови додається анотація іноземною мовою. Постерний захист та конференція для секцій відділення мовознавства (крім секції «Українська мова») здійснюється іноземною мовою.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Кожна структурна частина роботи починається з нової сторінки. Заголовки структурних частин друкуються великими літерами симетрично 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до набору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: «ЗМІСТ», «ПЕРЕЛІК </w:t>
      </w:r>
      <w:r w:rsidRPr="00B22100">
        <w:rPr>
          <w:rFonts w:eastAsia="Times New Roman" w:cs="Arial"/>
          <w:color w:val="383838"/>
          <w:sz w:val="24"/>
          <w:szCs w:val="24"/>
          <w:lang w:eastAsia="ru-RU"/>
        </w:rPr>
        <w:lastRenderedPageBreak/>
        <w:t xml:space="preserve">УМОВНИХ СКОРОЧЕНЬ», «ВСТУП», «РОЗДІЛ», «ВИСНОВКИ», «СПИСОК ВИКОРИСТАНИХ ДЖЕРЕЛ», «ДОДАТКИ». Заголовки підрозділів друкуються маленькими літерами (крім першої великої) з абзацного відступу. Заголовки пунктів друкуються маленькими літерами (крім першої великої) з абзацного відступу в підбір 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до тексту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Відстань між заголовком (за винятком заголовка пункту) та текстом має дорівнювати 3-4 інтервалам.</w:t>
      </w:r>
    </w:p>
    <w:p w:rsidR="00B22100" w:rsidRPr="00B22100" w:rsidRDefault="00B22100" w:rsidP="00B22100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Нумерація сторінок, розділів, підрозділів, пунктів, рисунків, таблиць, формул подається арабськими цифрами 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без знаку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 «№».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Усі сторінки роботи, враховуючи титульну сторінку, анотацію та додатки, підлягають суцільній нумерації;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Нумеруються тільки розділи основної частини. Зміст, вступ, висновки не нумеруються.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Номер розділу ставиться після слова «РОЗДІЛ», після номера крапка не ставиться. Заголовок розділу друкується з нового рядка.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Підрозділи нумеруються в межах кожного розділу за правилом: номер розділу, номер підрозділу. В кінці номера підрозділу має стояти крапка, наприклад: «2.4.». Заголовок підрозділу наводиться в тому самому рядку.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Пункти нумеруються в межах кожного підрозділу так: номер розділу, номер підрозділу, номер пункту, наприклад: «2.3.4.». Заголовок пункту наводиться в тому самому рядку, але пункт може й не мати заголовка.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 кінці назв розділів, підрозділів, пунктів крапка не ставиться.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Формули нумеруються в межах розділу. Наприклад, «формула (2.3)» означає «формула 3 розділу 2». Наявність підрозділів на нумерацію формул не впливає. Формули, на які немає посилань, можна не нумерувати. Номер необхідно брати в круглі дужки та розміщувати на правому полі сторінки на рівні нижнього рядка формули, якої він стосується.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Рисунки нумеруються в межах розділу арабськими цифрами (аналогічно до формул та підрозділів) і позначаються словом «Рис.», наприклад «Рис. 1.2».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Таблиці нумеруються послідовно в межах розділу. У правому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між якими ставиться крапка, наприклад: «Таблиця 2.3».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Додатки оформлюються як безпосереднє продовження роботи на наступних сторінках. Вони розміщуються 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в порядку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 згадування в тексті роботи. Кожен із додатків має розміщуватися на окремій сторінці. Додаток повинен мати заголовок, який друкується угорі симетрично відносно тексту. Додатки нумеруються великими українськими літерами і позначаються словом «Додаток», наприклад: «Додаток Б».</w:t>
      </w:r>
    </w:p>
    <w:p w:rsidR="00B22100" w:rsidRPr="00B22100" w:rsidRDefault="00B22100" w:rsidP="00B22100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Під час написання роботи учасник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Якщо в роботі використовуються відомості з матеріалів з великою кількістю сторінок, тоді слід точно вказати номери сторінок, ілюстрацій, таблиць, формул із джерела.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Посилання в тексті роботи на джерело зазначається порядковим номером за переліком посилань, виділеним двома квадратними дужками, наприклад, «...у працях [1‒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7]...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».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Якщо в тексті роботи необхідно зробити посилання на конкретні відомості, цитата наводиться в лапках, а посилання береться у квадратні дужки із зазначенням порядкового номера джерела 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 списку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 використаних джерел та відповідної сторінки. Наприклад: «…набуття наукового знання передбачає оперування фактами, які характеризують певне явище, розробку наукової гіпотези (теорії), яка пояснює те чи інше явище і постановку експерименту для доведення висунутої теорії [8, с. 37]».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lastRenderedPageBreak/>
        <w:t>Текст цитати необхідно точно відтворювати й наводити повністю, щоб не спотворити думки автора. Пропуск слів, речень, абзаців при цитуванні допускається без перекручення авторського тексту і позначається трьома крапками. У тексті роботи допускається непряме цитування автора (переказ, виклад думок автора своїми словами), при цьому слід точно викладати думки автора та давати відповідні посилання на джерело.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Посилання на ілюстрації в тексті роботи вказуються порядковим номером ілюстрації, наприклад «рис. 1.2».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Посилання на формули вказуються порядковим номером формули в дужках, наприклад «...у формулі (2.1)».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На всі таблиці роботи мають бути посилання в тексті, при цьому слово «таблиця» у тексті пишуть скорочено, наприклад «...у табл. 1.2».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 повторних посиланнях на таблиці та ілюстрації потрібно вказувати скорочено слово «дивись», наприклад «див. табл. 1.3».</w:t>
      </w:r>
    </w:p>
    <w:p w:rsidR="00B22100" w:rsidRPr="00B22100" w:rsidRDefault="00B22100" w:rsidP="00B22100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Формули в тексті роботи розміщуються після посилання на них. Вони відокремлюються від тексту інтервалами в один рядок зверху і знизу та розміщуються посередині сторінки. Формули, якщо вони громіздкі й складні, розташовуються на окремих рядках. Це стосується і нумерованих формул. Декілька однотипних невеликих формул подаються в одному рядку через кому, а іноді невеликі нескладні формули розміщуються безпосередньо в тексті.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Переноси у формулі допускаються лише на знаках рівності, «плюс», «мінус», множення і ділення з повторенням знаку в наступному рядку.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Символи та коефіцієнти, що наводяться у формулі, описуються безпосередньо під нею в тій послідовності, в якій згадуються у формулі.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Значення кожного символу або числового коефіцієнта подається з нового рядка. Перший рядок починається словом «де» без двокрапки.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Номер формули розміщується на правому боці сторінки на рівні нижнього рядка.</w:t>
      </w:r>
    </w:p>
    <w:p w:rsidR="00B22100" w:rsidRPr="00B22100" w:rsidRDefault="00B22100" w:rsidP="00B22100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Ілюстративний матеріал у роботі використовується з метою більш наочного представлення результатів досліджень та їх обґрунтування. Найчастіше в роботах використовуються такі види ілюстративних матеріалів: креслення, рисунки, таблиці, діаграми, графіки, схеми, фотографії.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Усі ілюстрації зазначаються в тексті роботи. Якщо ілюстративний матеріал за обсягом перевищує третину сторінки, він має виноситися в додатки.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Назва ілюстрації розміщується відразу після її номера, внизу.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Цифровий матеріал роботи оформлюється у вигляді таблиць. Слово «Таблиця» починається з великої літери, прописується курсивом і розміщується у верхньому правому куті сторінки, а її назва – посередині, симетрично </w:t>
      </w:r>
      <w:proofErr w:type="gramStart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до тексту</w:t>
      </w:r>
      <w:proofErr w:type="gramEnd"/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 і наводиться жирним шрифтом.</w:t>
      </w:r>
    </w:p>
    <w:p w:rsidR="00B22100" w:rsidRPr="00B22100" w:rsidRDefault="00B22100" w:rsidP="00B22100">
      <w:pPr>
        <w:spacing w:after="0" w:line="240" w:lineRule="auto"/>
        <w:jc w:val="center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955734">
        <w:rPr>
          <w:rFonts w:eastAsia="Times New Roman" w:cs="Arial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Приклад побудови таблиці</w:t>
      </w:r>
    </w:p>
    <w:p w:rsidR="00B22100" w:rsidRPr="00B22100" w:rsidRDefault="00B22100" w:rsidP="00B22100">
      <w:pPr>
        <w:spacing w:after="0" w:line="240" w:lineRule="auto"/>
        <w:jc w:val="center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955734">
        <w:rPr>
          <w:rFonts w:eastAsia="Times New Roman" w:cs="Arial"/>
          <w:noProof/>
          <w:color w:val="383838"/>
          <w:sz w:val="24"/>
          <w:szCs w:val="24"/>
          <w:lang w:eastAsia="ru-RU"/>
        </w:rPr>
        <w:drawing>
          <wp:inline distT="0" distB="0" distL="0" distR="0">
            <wp:extent cx="4914900" cy="2009775"/>
            <wp:effectExtent l="0" t="0" r="0" b="9525"/>
            <wp:docPr id="1" name="Рисунок 1" descr="http://man.gov.ua/upload/konkurs-zahyst/2014/Osnovni_vimogi_do_pobit/Tabl_vimogi_do_r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.gov.ua/upload/konkurs-zahyst/2014/Osnovni_vimogi_do_pobit/Tabl_vimogi_do_rob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 xml:space="preserve">Заголовки граф мають починатися з великих літер, підзаголовки – з маленьких, якщо вони становлять одне речення із заголовком, і з великих, якщо вони є самостійними. Висота </w:t>
      </w:r>
      <w:r w:rsidRPr="00B22100">
        <w:rPr>
          <w:rFonts w:eastAsia="Times New Roman" w:cs="Arial"/>
          <w:color w:val="383838"/>
          <w:sz w:val="24"/>
          <w:szCs w:val="24"/>
          <w:lang w:eastAsia="ru-RU"/>
        </w:rPr>
        <w:lastRenderedPageBreak/>
        <w:t>рядків має бути не менше ніж 8 міліметрів. Графу з порядковими номерами рядків до таблиці включати не треба.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Таблиця розміщується після першого згадування про неї в тексті так, щоб її можна було читати без обертання переплетеного блока рукопису або з обертанням за стрілкою годинника.</w:t>
      </w:r>
    </w:p>
    <w:p w:rsidR="00B22100" w:rsidRPr="00B22100" w:rsidRDefault="00B22100" w:rsidP="00B22100">
      <w:pPr>
        <w:spacing w:after="0" w:line="240" w:lineRule="auto"/>
        <w:jc w:val="both"/>
        <w:textAlignment w:val="baseline"/>
        <w:rPr>
          <w:rFonts w:eastAsia="Times New Roman" w:cs="Arial"/>
          <w:color w:val="383838"/>
          <w:sz w:val="24"/>
          <w:szCs w:val="24"/>
          <w:lang w:eastAsia="ru-RU"/>
        </w:rPr>
      </w:pPr>
      <w:r w:rsidRPr="00B22100">
        <w:rPr>
          <w:rFonts w:eastAsia="Times New Roman" w:cs="Arial"/>
          <w:color w:val="383838"/>
          <w:sz w:val="24"/>
          <w:szCs w:val="24"/>
          <w:lang w:eastAsia="ru-RU"/>
        </w:rPr>
        <w:t>Таблицю з великою кількістю рядків можна переносити на наступну сторінку. В разі перенесення таблиці на інший аркуш слово «Таблиця», її номер і назва не повторюються, далі над іншими частинами праворуч пишуться скорочено слова «Продовж. табл.» і вказується тільки номер таблиці, наприклад: «Продовж. табл. 1.2».</w:t>
      </w:r>
    </w:p>
    <w:p w:rsidR="009D28A1" w:rsidRPr="00955734" w:rsidRDefault="009D28A1">
      <w:pPr>
        <w:rPr>
          <w:sz w:val="24"/>
          <w:szCs w:val="24"/>
        </w:rPr>
      </w:pPr>
    </w:p>
    <w:sectPr w:rsidR="009D28A1" w:rsidRPr="0095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162"/>
    <w:multiLevelType w:val="multilevel"/>
    <w:tmpl w:val="249CE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0611F"/>
    <w:multiLevelType w:val="multilevel"/>
    <w:tmpl w:val="524C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D3779"/>
    <w:multiLevelType w:val="multilevel"/>
    <w:tmpl w:val="AE268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51DD4"/>
    <w:multiLevelType w:val="multilevel"/>
    <w:tmpl w:val="E51E6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A1946"/>
    <w:multiLevelType w:val="multilevel"/>
    <w:tmpl w:val="6E2E70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E20"/>
    <w:multiLevelType w:val="multilevel"/>
    <w:tmpl w:val="0D8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82955"/>
    <w:multiLevelType w:val="multilevel"/>
    <w:tmpl w:val="A046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84B4C"/>
    <w:multiLevelType w:val="multilevel"/>
    <w:tmpl w:val="E906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00D93"/>
    <w:multiLevelType w:val="multilevel"/>
    <w:tmpl w:val="0B88C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A08CF"/>
    <w:multiLevelType w:val="multilevel"/>
    <w:tmpl w:val="2B34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A65DD4"/>
    <w:multiLevelType w:val="multilevel"/>
    <w:tmpl w:val="B6AA1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E0C97"/>
    <w:multiLevelType w:val="multilevel"/>
    <w:tmpl w:val="38BE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9556E"/>
    <w:multiLevelType w:val="multilevel"/>
    <w:tmpl w:val="68C26B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0138D"/>
    <w:multiLevelType w:val="multilevel"/>
    <w:tmpl w:val="6E58A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B7D4B"/>
    <w:multiLevelType w:val="multilevel"/>
    <w:tmpl w:val="DB06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956C53"/>
    <w:multiLevelType w:val="multilevel"/>
    <w:tmpl w:val="EA7E7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960D9"/>
    <w:multiLevelType w:val="multilevel"/>
    <w:tmpl w:val="57501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B"/>
    <w:rsid w:val="0082242B"/>
    <w:rsid w:val="00955734"/>
    <w:rsid w:val="009D28A1"/>
    <w:rsid w:val="00B2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5752"/>
  <w15:chartTrackingRefBased/>
  <w15:docId w15:val="{969D4083-76B8-4C6E-BCC6-154DA74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100"/>
    <w:rPr>
      <w:b/>
      <w:bCs/>
    </w:rPr>
  </w:style>
  <w:style w:type="character" w:styleId="a5">
    <w:name w:val="Hyperlink"/>
    <w:basedOn w:val="a0"/>
    <w:uiPriority w:val="99"/>
    <w:semiHidden/>
    <w:unhideWhenUsed/>
    <w:rsid w:val="00B22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n.gov.ua/upload/konkurs-zahyst/Dodatok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shool-2</dc:creator>
  <cp:keywords/>
  <dc:description/>
  <cp:lastModifiedBy>shool-2</cp:lastModifiedBy>
  <cp:revision>2</cp:revision>
  <dcterms:created xsi:type="dcterms:W3CDTF">2021-06-01T12:19:00Z</dcterms:created>
  <dcterms:modified xsi:type="dcterms:W3CDTF">2021-06-01T12:19:00Z</dcterms:modified>
</cp:coreProperties>
</file>